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65"/>
        <w:tblW w:w="11400" w:type="dxa"/>
        <w:tblLayout w:type="fixed"/>
        <w:tblLook w:val="04A0" w:firstRow="1" w:lastRow="0" w:firstColumn="1" w:lastColumn="0" w:noHBand="0" w:noVBand="1"/>
      </w:tblPr>
      <w:tblGrid>
        <w:gridCol w:w="1525"/>
        <w:gridCol w:w="1991"/>
        <w:gridCol w:w="4677"/>
        <w:gridCol w:w="1209"/>
        <w:gridCol w:w="1998"/>
      </w:tblGrid>
      <w:tr w:rsidR="002274F4" w:rsidRPr="002274F4" w:rsidTr="002274F4">
        <w:trPr>
          <w:trHeight w:val="1848"/>
        </w:trPr>
        <w:tc>
          <w:tcPr>
            <w:tcW w:w="1526" w:type="dxa"/>
            <w:hideMark/>
          </w:tcPr>
          <w:p w:rsidR="002274F4" w:rsidRPr="002274F4" w:rsidRDefault="002274F4" w:rsidP="002274F4">
            <w:pPr>
              <w:snapToGrid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2274F4">
              <w:rPr>
                <w:rFonts w:ascii="Arial" w:eastAsia="Times New Roman" w:hAnsi="Arial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6BD3F9D" wp14:editId="753E1D95">
                  <wp:extent cx="714375" cy="733425"/>
                  <wp:effectExtent l="0" t="0" r="9525" b="9525"/>
                  <wp:docPr id="1" name="Immagine 1" descr="stemma-logo-repubblica-ot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logo-repubblica-ot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4F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B01DC21" wp14:editId="4166D9B2">
                  <wp:extent cx="866775" cy="581025"/>
                  <wp:effectExtent l="0" t="0" r="9525" b="9525"/>
                  <wp:docPr id="2" name="Immagine 3" descr="default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fault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gridSpan w:val="3"/>
            <w:shd w:val="clear" w:color="auto" w:fill="FFFFFF"/>
            <w:vAlign w:val="center"/>
            <w:hideMark/>
          </w:tcPr>
          <w:p w:rsidR="002274F4" w:rsidRPr="002274F4" w:rsidRDefault="002274F4" w:rsidP="002274F4">
            <w:pPr>
              <w:snapToGrid w:val="0"/>
              <w:spacing w:after="0" w:line="240" w:lineRule="atLeast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Ministero dell’Istruzione, dell’Università e della Ricerca</w:t>
            </w:r>
          </w:p>
          <w:p w:rsidR="002274F4" w:rsidRPr="002274F4" w:rsidRDefault="002274F4" w:rsidP="002274F4">
            <w:pPr>
              <w:spacing w:after="0" w:line="240" w:lineRule="atLeast"/>
              <w:jc w:val="center"/>
              <w:rPr>
                <w:rFonts w:ascii="Arial Black" w:eastAsia="Times New Roman" w:hAnsi="Arial Black" w:cs="Times New Roman"/>
                <w:sz w:val="23"/>
                <w:szCs w:val="23"/>
                <w:lang w:eastAsia="it-IT"/>
              </w:rPr>
            </w:pPr>
            <w:r w:rsidRPr="002274F4">
              <w:rPr>
                <w:rFonts w:ascii="Arial Black" w:eastAsia="Times New Roman" w:hAnsi="Arial Black" w:cs="Times New Roman"/>
                <w:sz w:val="23"/>
                <w:szCs w:val="23"/>
                <w:lang w:eastAsia="it-IT"/>
              </w:rPr>
              <w:t>ISTITUTO DI ISTRUZIONE SUPERIORE “MORELLI-COLAO”</w:t>
            </w:r>
          </w:p>
          <w:p w:rsidR="002274F4" w:rsidRPr="002274F4" w:rsidRDefault="002274F4" w:rsidP="002274F4">
            <w:pPr>
              <w:spacing w:after="0" w:line="240" w:lineRule="atLeast"/>
              <w:jc w:val="center"/>
              <w:rPr>
                <w:rFonts w:ascii="Arial Black" w:eastAsia="Times New Roman" w:hAnsi="Arial Black" w:cs="Times New Roman"/>
                <w:b/>
                <w:sz w:val="32"/>
                <w:szCs w:val="32"/>
                <w:lang w:eastAsia="it-IT"/>
              </w:rPr>
            </w:pPr>
            <w:r w:rsidRPr="002274F4">
              <w:rPr>
                <w:rFonts w:ascii="Arial Black" w:eastAsia="Times New Roman" w:hAnsi="Arial Black" w:cs="Times New Roman"/>
                <w:b/>
                <w:sz w:val="32"/>
                <w:szCs w:val="32"/>
                <w:lang w:eastAsia="it-IT"/>
              </w:rPr>
              <w:t>LICEO GINNASIO STATALE “M. MORELLI”</w:t>
            </w:r>
          </w:p>
          <w:p w:rsidR="002274F4" w:rsidRPr="002274F4" w:rsidRDefault="002274F4" w:rsidP="002274F4">
            <w:pPr>
              <w:spacing w:after="0" w:line="240" w:lineRule="atLeast"/>
              <w:jc w:val="center"/>
              <w:rPr>
                <w:rFonts w:ascii="Arial Black" w:eastAsia="Times New Roman" w:hAnsi="Arial Black" w:cs="Times New Roman"/>
                <w:b/>
                <w:sz w:val="32"/>
                <w:szCs w:val="32"/>
                <w:lang w:eastAsia="it-IT"/>
              </w:rPr>
            </w:pPr>
            <w:r w:rsidRPr="002274F4">
              <w:rPr>
                <w:rFonts w:ascii="Arial Black" w:eastAsia="Times New Roman" w:hAnsi="Arial Black" w:cs="Times New Roman"/>
                <w:b/>
                <w:sz w:val="32"/>
                <w:szCs w:val="32"/>
                <w:lang w:eastAsia="it-IT"/>
              </w:rPr>
              <w:t>LICEO ARTISTICO “D. COLAO”</w:t>
            </w:r>
          </w:p>
          <w:p w:rsidR="002274F4" w:rsidRPr="002274F4" w:rsidRDefault="002274F4" w:rsidP="002274F4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uppressAutoHyphens/>
              <w:spacing w:after="0" w:line="240" w:lineRule="atLeast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2274F4">
              <w:rPr>
                <w:rFonts w:ascii="Arial Black" w:eastAsia="Times New Roman" w:hAnsi="Arial Black" w:cs="Times New Roman"/>
                <w:b/>
                <w:bCs/>
                <w:sz w:val="28"/>
                <w:szCs w:val="28"/>
                <w:lang w:eastAsia="it-IT"/>
              </w:rPr>
              <w:t>Via XXV APRILE, 1 - VIBO VALENTIA</w:t>
            </w:r>
          </w:p>
        </w:tc>
        <w:tc>
          <w:tcPr>
            <w:tcW w:w="1998" w:type="dxa"/>
          </w:tcPr>
          <w:p w:rsidR="002274F4" w:rsidRPr="002274F4" w:rsidRDefault="002274F4" w:rsidP="002274F4">
            <w:pPr>
              <w:snapToGrid w:val="0"/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noProof/>
                <w:sz w:val="4"/>
                <w:szCs w:val="4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noProof/>
                <w:sz w:val="24"/>
                <w:szCs w:val="20"/>
                <w:lang w:eastAsia="it-IT"/>
              </w:rPr>
              <w:drawing>
                <wp:inline distT="0" distB="0" distL="0" distR="0" wp14:anchorId="21BA574F" wp14:editId="04B43CC8">
                  <wp:extent cx="609600" cy="5905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4F4" w:rsidRPr="002274F4" w:rsidRDefault="002274F4" w:rsidP="002274F4">
            <w:pPr>
              <w:snapToGrid w:val="0"/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noProof/>
                <w:sz w:val="4"/>
                <w:szCs w:val="4"/>
                <w:lang w:eastAsia="it-IT"/>
              </w:rPr>
            </w:pPr>
          </w:p>
          <w:p w:rsidR="002274F4" w:rsidRPr="002274F4" w:rsidRDefault="002274F4" w:rsidP="002274F4">
            <w:pPr>
              <w:snapToGrid w:val="0"/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noProof/>
                <w:sz w:val="4"/>
                <w:szCs w:val="4"/>
                <w:lang w:eastAsia="it-IT"/>
              </w:rPr>
            </w:pPr>
          </w:p>
          <w:p w:rsidR="002274F4" w:rsidRPr="002274F4" w:rsidRDefault="002274F4" w:rsidP="002274F4">
            <w:pPr>
              <w:snapToGrid w:val="0"/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0"/>
                <w:lang w:eastAsia="it-IT"/>
              </w:rPr>
            </w:pPr>
            <w:r w:rsidRPr="002274F4">
              <w:rPr>
                <w:rFonts w:ascii="Calibri" w:eastAsia="Times New Roman" w:hAnsi="Calibri" w:cs="Calibri"/>
                <w:b/>
                <w:noProof/>
                <w:color w:val="000000"/>
                <w:lang w:eastAsia="it-IT"/>
              </w:rPr>
              <w:drawing>
                <wp:inline distT="0" distB="0" distL="0" distR="0" wp14:anchorId="118C7849" wp14:editId="54EF41C4">
                  <wp:extent cx="1038225" cy="619125"/>
                  <wp:effectExtent l="0" t="0" r="9525" b="9525"/>
                  <wp:docPr id="4" name="Immagine 4" descr="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4F4" w:rsidRPr="002274F4" w:rsidTr="002274F4">
        <w:trPr>
          <w:trHeight w:val="474"/>
        </w:trPr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274F4" w:rsidRPr="002274F4" w:rsidRDefault="002274F4" w:rsidP="002274F4">
            <w:pPr>
              <w:snapToGrid w:val="0"/>
              <w:spacing w:after="0" w:line="240" w:lineRule="auto"/>
              <w:rPr>
                <w:rFonts w:ascii="Comic Sans MS" w:eastAsia="Times New Roman" w:hAnsi="Comic Sans MS" w:cs="Times New Roman"/>
                <w:bCs/>
                <w:sz w:val="18"/>
                <w:szCs w:val="24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bCs/>
                <w:sz w:val="18"/>
                <w:szCs w:val="24"/>
                <w:lang w:eastAsia="it-IT"/>
              </w:rPr>
              <w:t xml:space="preserve">Cod. meccanografico: VVIS00700G         </w:t>
            </w:r>
            <w:r w:rsidRPr="002274F4">
              <w:rPr>
                <w:rFonts w:ascii="Comic Sans MS" w:eastAsia="Times New Roman" w:hAnsi="Comic Sans MS" w:cs="Times New Roman"/>
                <w:sz w:val="18"/>
                <w:szCs w:val="24"/>
                <w:lang w:eastAsia="it-IT"/>
              </w:rPr>
              <w:t xml:space="preserve">Cod. fiscale:   96034290799    </w:t>
            </w:r>
            <w:r w:rsidRPr="002274F4">
              <w:rPr>
                <w:rFonts w:ascii="Comic Sans MS" w:eastAsia="Times New Roman" w:hAnsi="Comic Sans MS" w:cs="Times New Roman"/>
                <w:bCs/>
                <w:sz w:val="18"/>
                <w:szCs w:val="24"/>
                <w:lang w:eastAsia="it-IT"/>
              </w:rPr>
              <w:t xml:space="preserve">                        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274F4" w:rsidRPr="002274F4" w:rsidRDefault="00F531A3" w:rsidP="006F6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hyperlink r:id="rId10" w:history="1">
              <w:r w:rsidR="006F66BE" w:rsidRPr="00A047CB">
                <w:rPr>
                  <w:rStyle w:val="Collegamentoipertestual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it-IT"/>
                </w:rPr>
                <w:t>http://www.iismorellicolao.gov.it/</w:t>
              </w:r>
            </w:hyperlink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274F4" w:rsidRPr="002274F4" w:rsidRDefault="002274F4" w:rsidP="002274F4">
            <w:pPr>
              <w:snapToGrid w:val="0"/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  <w:t>tel. :  0963/41489</w:t>
            </w:r>
          </w:p>
          <w:p w:rsidR="002274F4" w:rsidRPr="002274F4" w:rsidRDefault="002274F4" w:rsidP="002274F4">
            <w:pPr>
              <w:snapToGrid w:val="0"/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it-IT"/>
              </w:rPr>
              <w:t xml:space="preserve">         0963/41805</w:t>
            </w:r>
          </w:p>
          <w:p w:rsidR="002274F4" w:rsidRPr="002274F4" w:rsidRDefault="002274F4" w:rsidP="002274F4">
            <w:pPr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  <w:t>fax:   0963/42611</w:t>
            </w:r>
          </w:p>
          <w:p w:rsidR="002274F4" w:rsidRPr="002274F4" w:rsidRDefault="002274F4" w:rsidP="002274F4">
            <w:pPr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  <w:t xml:space="preserve">           0963/547154</w:t>
            </w:r>
          </w:p>
          <w:p w:rsidR="002274F4" w:rsidRPr="002274F4" w:rsidRDefault="002274F4" w:rsidP="002274F4">
            <w:pPr>
              <w:spacing w:after="0" w:line="240" w:lineRule="auto"/>
              <w:ind w:left="-127" w:firstLine="127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it-IT"/>
              </w:rPr>
            </w:pPr>
            <w:r w:rsidRPr="002274F4"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  <w:t>e-mail: vvis00700g@istruzione.it</w:t>
            </w:r>
          </w:p>
        </w:tc>
      </w:tr>
    </w:tbl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44"/>
          <w:szCs w:val="44"/>
          <w:u w:val="single"/>
        </w:rPr>
      </w:pPr>
      <w:r w:rsidRPr="002274F4">
        <w:rPr>
          <w:rFonts w:ascii="Arial" w:eastAsia="Calibri" w:hAnsi="Arial" w:cs="Arial"/>
          <w:b/>
          <w:color w:val="000000"/>
          <w:sz w:val="44"/>
          <w:szCs w:val="44"/>
          <w:u w:val="single"/>
        </w:rPr>
        <w:t xml:space="preserve">Bando </w:t>
      </w:r>
      <w:proofErr w:type="spellStart"/>
      <w:r w:rsidRPr="002274F4">
        <w:rPr>
          <w:rFonts w:ascii="Arial" w:eastAsia="Calibri" w:hAnsi="Arial" w:cs="Arial"/>
          <w:b/>
          <w:color w:val="000000"/>
          <w:sz w:val="44"/>
          <w:szCs w:val="44"/>
          <w:u w:val="single"/>
        </w:rPr>
        <w:t>certamen</w:t>
      </w:r>
      <w:proofErr w:type="spellEnd"/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center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Il Liceo classico statale “Michele Morelli” di Vibo Valentia, 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in collaborazione con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l’Ufficio Scolastico Regionale per la Calabria, 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>i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l Convitto Nazionale “ G. </w:t>
      </w:r>
      <w:proofErr w:type="spellStart"/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Filangieri</w:t>
      </w:r>
      <w:proofErr w:type="spellEnd"/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” di Vibo Valentia, della Provincia di Vibo Valentia, 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>il Comune di Vibo Valentia, i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 Museo Archeologi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co Statale di Vibo Valentia,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la Camera di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Commercio di Vibo Valentia,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la Fondazione “Nicol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a Liotti” di Monterosso Calabro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indice il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b/>
          <w:color w:val="000000"/>
          <w:sz w:val="26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center"/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</w:pPr>
      <w:proofErr w:type="spellStart"/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>Certamen</w:t>
      </w:r>
      <w:proofErr w:type="spellEnd"/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 xml:space="preserve"> </w:t>
      </w:r>
      <w:proofErr w:type="spellStart"/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>Classicum</w:t>
      </w:r>
      <w:proofErr w:type="spellEnd"/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 xml:space="preserve"> </w:t>
      </w:r>
      <w:proofErr w:type="spellStart"/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>Vibonense</w:t>
      </w:r>
      <w:proofErr w:type="spellEnd"/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center"/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</w:pPr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 xml:space="preserve">Carolo Diano </w:t>
      </w:r>
      <w:proofErr w:type="spellStart"/>
      <w:r w:rsidRPr="002274F4">
        <w:rPr>
          <w:rFonts w:ascii="Garamond-Antiqua" w:eastAsia="Calibri" w:hAnsi="Garamond-Antiqua" w:cs="Garamond-Antiqua"/>
          <w:b/>
          <w:i/>
          <w:color w:val="000000"/>
          <w:sz w:val="50"/>
          <w:szCs w:val="50"/>
        </w:rPr>
        <w:t>Dicatum</w:t>
      </w:r>
      <w:proofErr w:type="spellEnd"/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in ricordo di Carlo Diano, insigne grecista, filologo e storico della filosofia antica, originario di Vibo Valentia,  concorso annuale per studenti degli ultimi tre anni dei Licei Classici italiani.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  <w:r w:rsidRPr="002274F4"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  <w:t>La Commissione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La Commissione Giudicatrice, nominata dal Dirigente Scolastico, sarà costituita da docenti universitari, da docenti di Lettere Classiche anche fuori ruolo e da  un Ispettore tecnico dell’ U.S.R. per la Calabria 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  <w:r w:rsidRPr="002274F4"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  <w:t>La prova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</w:p>
    <w:p w:rsid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Il concorso per l’anno 201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6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consiste nella traduzione 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ed interpretazione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di un passo tratto dall’opera </w:t>
      </w:r>
      <w:r w:rsidR="000C61DC">
        <w:rPr>
          <w:rFonts w:ascii="Garamond-Antiqua" w:eastAsia="Calibri" w:hAnsi="Garamond-Antiqua" w:cs="Garamond-Antiqua"/>
          <w:color w:val="000000"/>
          <w:sz w:val="24"/>
          <w:szCs w:val="24"/>
        </w:rPr>
        <w:t>“Repubblica” di Platone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integrata da un commento 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che terrà conto del lessico, della sintassi, dello stile e delle problematiche del pensiero filosofico platonico presenti nel testo.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La sede della prova sarà il Liceo Ginnasio “Michele Morelli” di Vibo Valentia in Via XXV Aprile, 1.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 partecipanti dovranno trovarsi presso il suddetto Liceo alle ore 8:30 del giorno 0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1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/0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4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/201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6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,  muniti di un documento di identità.</w:t>
      </w:r>
    </w:p>
    <w:p w:rsidR="004A19B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Per la prova saranno concesse cinque ore. 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Dopo un breve saluto del Dirigente Scolastico del Liceo, la prova inizierà alle ore 8,45.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Sarà consentito soltanto l’uso del dizionario della lingua latina.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</w:rPr>
      </w:pPr>
      <w:r w:rsidRPr="002274F4">
        <w:rPr>
          <w:rFonts w:ascii="Garamond-Halbfett" w:eastAsia="Calibri" w:hAnsi="Garamond-Halbfett" w:cs="Garamond-Halbfett"/>
          <w:color w:val="000000"/>
          <w:sz w:val="24"/>
          <w:szCs w:val="24"/>
        </w:rPr>
        <w:t>Le spese di viaggio sono a carico dei partecipanti mentre le spese di vitto ed alloggio saranno a carico di questa istituzione scolastic</w:t>
      </w:r>
      <w:r w:rsidR="00946D1F">
        <w:rPr>
          <w:rFonts w:ascii="Garamond-Halbfett" w:eastAsia="Calibri" w:hAnsi="Garamond-Halbfett" w:cs="Garamond-Halbfett"/>
          <w:color w:val="000000"/>
          <w:sz w:val="24"/>
          <w:szCs w:val="24"/>
        </w:rPr>
        <w:t xml:space="preserve">a </w:t>
      </w:r>
      <w:r w:rsidR="00946D1F" w:rsidRPr="00946D1F"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  <w:t>solo per i primi trenta studenti e relativi docenti accompagnatori che produrranno domanda di partecipazione</w:t>
      </w:r>
      <w:r w:rsidR="00946D1F">
        <w:rPr>
          <w:rFonts w:ascii="Garamond-Halbfett" w:eastAsia="Calibri" w:hAnsi="Garamond-Halbfett" w:cs="Garamond-Halbfett"/>
          <w:color w:val="000000"/>
          <w:sz w:val="24"/>
          <w:szCs w:val="24"/>
        </w:rPr>
        <w:t xml:space="preserve"> (farà fede il timbro postale o la data di inoltro qualora la domanda sia inviata tramite mail). </w:t>
      </w:r>
      <w:r w:rsidRPr="002274F4">
        <w:rPr>
          <w:rFonts w:ascii="Garamond-Halbfett" w:eastAsia="Calibri" w:hAnsi="Garamond-Halbfett" w:cs="Garamond-Halbfett"/>
          <w:color w:val="000000"/>
          <w:sz w:val="24"/>
          <w:szCs w:val="24"/>
        </w:rPr>
        <w:t xml:space="preserve">  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  <w:r w:rsidRPr="002274F4"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  <w:t>Iscrizioni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lastRenderedPageBreak/>
        <w:t xml:space="preserve">Il </w:t>
      </w:r>
      <w:proofErr w:type="spellStart"/>
      <w:r w:rsidRPr="002274F4">
        <w:rPr>
          <w:rFonts w:ascii="Garamond-Antiqua" w:eastAsia="Calibri" w:hAnsi="Garamond-Antiqua" w:cs="Garamond-Antiqua"/>
          <w:b/>
          <w:color w:val="000000"/>
          <w:sz w:val="24"/>
          <w:szCs w:val="24"/>
        </w:rPr>
        <w:t>Certamen</w:t>
      </w:r>
      <w:proofErr w:type="spellEnd"/>
      <w:r w:rsidRPr="002274F4">
        <w:rPr>
          <w:rFonts w:ascii="Garamond-Antiqua" w:eastAsia="Calibri" w:hAnsi="Garamond-Antiqua" w:cs="Garamond-Antiqua"/>
          <w:b/>
          <w:color w:val="000000"/>
          <w:sz w:val="24"/>
          <w:szCs w:val="24"/>
        </w:rPr>
        <w:t xml:space="preserve"> </w:t>
      </w:r>
      <w:proofErr w:type="spellStart"/>
      <w:r w:rsidRPr="002274F4">
        <w:rPr>
          <w:rFonts w:ascii="Garamond-Antiqua" w:eastAsia="Calibri" w:hAnsi="Garamond-Antiqua" w:cs="Garamond-Antiqua"/>
          <w:b/>
          <w:color w:val="000000"/>
          <w:sz w:val="24"/>
          <w:szCs w:val="24"/>
        </w:rPr>
        <w:t>Classicum</w:t>
      </w:r>
      <w:proofErr w:type="spellEnd"/>
      <w:r w:rsidR="002D4991">
        <w:rPr>
          <w:rFonts w:ascii="Garamond-Antiqua" w:eastAsia="Calibri" w:hAnsi="Garamond-Antiqua" w:cs="Garamond-Antiqua"/>
          <w:b/>
          <w:color w:val="000000"/>
          <w:sz w:val="24"/>
          <w:szCs w:val="24"/>
        </w:rPr>
        <w:t xml:space="preserve"> </w:t>
      </w:r>
      <w:proofErr w:type="spellStart"/>
      <w:r w:rsidRPr="002274F4">
        <w:rPr>
          <w:rFonts w:ascii="Garamond-Antiqua" w:eastAsia="Calibri" w:hAnsi="Garamond-Antiqua" w:cs="Garamond-Antiqua"/>
          <w:b/>
          <w:color w:val="000000"/>
          <w:sz w:val="24"/>
          <w:szCs w:val="24"/>
        </w:rPr>
        <w:t>Vibonense</w:t>
      </w:r>
      <w:proofErr w:type="spellEnd"/>
      <w:r w:rsidRPr="002274F4">
        <w:rPr>
          <w:rFonts w:ascii="Garamond-Antiqua" w:eastAsia="Calibri" w:hAnsi="Garamond-Antiqua" w:cs="Garamond-Antiqua"/>
          <w:b/>
          <w:color w:val="000000"/>
          <w:sz w:val="24"/>
          <w:szCs w:val="24"/>
        </w:rPr>
        <w:t xml:space="preserve">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è riservato agli studenti dell’ ultimo e penultimo anno dei licei classici e degli istituti italiani nei quali si insegnino il latino e il greco e che siano stati promossi nell’anno precedente con votazione non inferiore a 8/10 nella lingua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greca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. Ciascun Istituto può inviare domanda di iscrizione per non più di quattro studenti (di cui uno supplente), accompagnati da un solo docente.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Le domande di partecipazione e gli allegati, vistati dal Dirigente scolastico, dovranno pervenire al Liceo “Mic</w:t>
      </w:r>
      <w:r w:rsidR="00C53740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hele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Morelli” con lettera raccomandata inviata a cura della scuola di appartenenza, entro e non oltre il 2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2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/12/201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5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Le domande potranno essere anche inviate entro la stessa data via e-mail </w:t>
      </w:r>
      <w:hyperlink r:id="rId11" w:history="1">
        <w:r w:rsidRPr="002274F4">
          <w:rPr>
            <w:rFonts w:ascii="Garamond-Antiqua" w:eastAsia="Calibri" w:hAnsi="Garamond-Antiqua" w:cs="Garamond-Antiqua"/>
            <w:color w:val="0000FF"/>
            <w:sz w:val="24"/>
            <w:szCs w:val="24"/>
            <w:u w:val="single"/>
          </w:rPr>
          <w:t>vvis00700g@istruzione.it</w:t>
        </w:r>
      </w:hyperlink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o tramite </w:t>
      </w:r>
      <w:proofErr w:type="spellStart"/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pec</w:t>
      </w:r>
      <w:proofErr w:type="spellEnd"/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</w:t>
      </w:r>
      <w:hyperlink r:id="rId12" w:history="1">
        <w:r w:rsidRPr="002274F4">
          <w:rPr>
            <w:rFonts w:ascii="Garamond-Antiqua" w:eastAsia="Calibri" w:hAnsi="Garamond-Antiqua" w:cs="Garamond-Antiqua"/>
            <w:color w:val="0000FF"/>
            <w:sz w:val="24"/>
            <w:szCs w:val="24"/>
            <w:u w:val="single"/>
          </w:rPr>
          <w:t>vvis00700g@pec.istruzione.it</w:t>
        </w:r>
      </w:hyperlink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ovvero a mezzo fax (0963/42611).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</w:pPr>
      <w:r w:rsidRPr="002274F4">
        <w:rPr>
          <w:rFonts w:ascii="Garamond-Halbfett" w:eastAsia="Calibri" w:hAnsi="Garamond-Halbfett" w:cs="Garamond-Halbfett"/>
          <w:color w:val="000000"/>
          <w:sz w:val="24"/>
          <w:szCs w:val="24"/>
          <w:u w:val="single"/>
        </w:rPr>
        <w:t>Premi e attestati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E’ prevista l’assegnazione dei seguenti premi: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SymbolMT" w:eastAsia="SymbolMT" w:hAnsi="Calibri" w:cs="SymbolMT" w:hint="eastAsia"/>
          <w:color w:val="000000"/>
          <w:sz w:val="20"/>
          <w:szCs w:val="20"/>
        </w:rPr>
        <w:t xml:space="preserve">•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 Premio:   € 800.00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SymbolMT" w:eastAsia="SymbolMT" w:hAnsi="Calibri" w:cs="SymbolMT" w:hint="eastAsia"/>
          <w:color w:val="000000"/>
          <w:sz w:val="20"/>
          <w:szCs w:val="20"/>
        </w:rPr>
        <w:t xml:space="preserve">•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II Premio:  € 500.00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SymbolMT" w:eastAsia="SymbolMT" w:hAnsi="Calibri" w:cs="SymbolMT" w:hint="eastAsia"/>
          <w:color w:val="000000"/>
          <w:sz w:val="20"/>
          <w:szCs w:val="20"/>
        </w:rPr>
        <w:t xml:space="preserve">•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III Premio: € 300,00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La cerimonia di premiazione avverrà in data 0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2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/0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4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/201</w:t>
      </w:r>
      <w:r>
        <w:rPr>
          <w:rFonts w:ascii="Garamond-Antiqua" w:eastAsia="Calibri" w:hAnsi="Garamond-Antiqua" w:cs="Garamond-Antiqua"/>
          <w:color w:val="000000"/>
          <w:sz w:val="24"/>
          <w:szCs w:val="24"/>
        </w:rPr>
        <w:t>6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A tutti i concorrenti sarà consegnato un attestato di partecipazione che potrà essere inserito nel </w:t>
      </w:r>
      <w:r w:rsidRPr="002274F4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 xml:space="preserve">curriculum </w:t>
      </w: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>personale ai fini dell’attribuzione del credito scolastico.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Halbfett" w:eastAsia="Calibri" w:hAnsi="Garamond-Halbfett" w:cs="Garamond-Halbfett"/>
          <w:color w:val="244061"/>
          <w:sz w:val="24"/>
          <w:szCs w:val="24"/>
        </w:rPr>
      </w:pPr>
      <w:r w:rsidRPr="002274F4">
        <w:rPr>
          <w:rFonts w:ascii="Garamond-Halbfett" w:eastAsia="Calibri" w:hAnsi="Garamond-Halbfett" w:cs="Garamond-Halbfett"/>
          <w:color w:val="244061"/>
          <w:sz w:val="24"/>
          <w:szCs w:val="24"/>
        </w:rPr>
        <w:t>__________________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</w:pPr>
      <w:r w:rsidRPr="002274F4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Ulteriori informazioni potranno essere richieste alla Prof. Maria Carmela Galati (cell.3477608134).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</w:pPr>
      <w:r w:rsidRPr="002274F4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 xml:space="preserve"> 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</w:pPr>
      <w:r w:rsidRPr="002274F4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Vibo Valentia, 0</w:t>
      </w:r>
      <w:r w:rsidR="00F97A20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9</w:t>
      </w:r>
      <w:r w:rsidRPr="002274F4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/1</w:t>
      </w:r>
      <w:r w:rsidR="00F97A20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1</w:t>
      </w:r>
      <w:r w:rsidRPr="002274F4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/</w:t>
      </w:r>
      <w:r w:rsidR="00F97A20">
        <w:rPr>
          <w:rFonts w:ascii="Garamond-Kursiv" w:eastAsia="Calibri" w:hAnsi="Garamond-Kursiv" w:cs="Garamond-Kursiv"/>
          <w:i/>
          <w:iCs/>
          <w:color w:val="000000"/>
          <w:sz w:val="24"/>
          <w:szCs w:val="24"/>
        </w:rPr>
        <w:t>2015</w:t>
      </w:r>
    </w:p>
    <w:p w:rsid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86328E" w:rsidRPr="002274F4" w:rsidRDefault="0086328E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Default="002274F4" w:rsidP="0086328E">
      <w:pPr>
        <w:autoSpaceDE w:val="0"/>
        <w:autoSpaceDN w:val="0"/>
        <w:adjustRightInd w:val="0"/>
        <w:spacing w:after="0" w:line="240" w:lineRule="auto"/>
        <w:jc w:val="right"/>
        <w:rPr>
          <w:rFonts w:ascii="Garamond-Antiqua" w:eastAsia="Calibri" w:hAnsi="Garamond-Antiqua" w:cs="Garamond-Antiqua"/>
          <w:color w:val="000000"/>
          <w:sz w:val="24"/>
          <w:szCs w:val="24"/>
        </w:rPr>
      </w:pPr>
      <w:r w:rsidRPr="002274F4">
        <w:rPr>
          <w:rFonts w:ascii="Garamond-Antiqua" w:eastAsia="Calibri" w:hAnsi="Garamond-Antiqua" w:cs="Garamond-Antiqua"/>
          <w:color w:val="000000"/>
          <w:sz w:val="24"/>
          <w:szCs w:val="24"/>
        </w:rPr>
        <w:t xml:space="preserve">                                                                          </w:t>
      </w:r>
      <w:r w:rsidR="0086328E">
        <w:rPr>
          <w:rFonts w:ascii="Garamond-Antiqua" w:eastAsia="Calibri" w:hAnsi="Garamond-Antiqua" w:cs="Garamond-Antiqua"/>
          <w:color w:val="000000"/>
          <w:sz w:val="24"/>
          <w:szCs w:val="24"/>
        </w:rPr>
        <w:t>Il Dirigente Scolastico</w:t>
      </w:r>
    </w:p>
    <w:p w:rsidR="0086328E" w:rsidRPr="002274F4" w:rsidRDefault="0086328E" w:rsidP="0086328E">
      <w:pPr>
        <w:autoSpaceDE w:val="0"/>
        <w:autoSpaceDN w:val="0"/>
        <w:adjustRightInd w:val="0"/>
        <w:spacing w:after="0" w:line="240" w:lineRule="auto"/>
        <w:jc w:val="right"/>
        <w:rPr>
          <w:rFonts w:ascii="Garamond-Antiqua" w:eastAsia="Calibri" w:hAnsi="Garamond-Antiqua" w:cs="Garamond-Antiqua"/>
          <w:color w:val="000000"/>
          <w:sz w:val="24"/>
          <w:szCs w:val="24"/>
        </w:rPr>
      </w:pPr>
      <w:r>
        <w:rPr>
          <w:rFonts w:ascii="Garamond-Antiqua" w:eastAsia="Calibri" w:hAnsi="Garamond-Antiqua" w:cs="Garamond-Antiqua"/>
          <w:color w:val="000000"/>
          <w:sz w:val="24"/>
          <w:szCs w:val="24"/>
        </w:rPr>
        <w:t>ing. Raffaele Suppa</w:t>
      </w: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right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right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p w:rsidR="002274F4" w:rsidRPr="002274F4" w:rsidRDefault="002274F4" w:rsidP="002274F4">
      <w:pPr>
        <w:autoSpaceDE w:val="0"/>
        <w:autoSpaceDN w:val="0"/>
        <w:adjustRightInd w:val="0"/>
        <w:spacing w:after="0" w:line="240" w:lineRule="auto"/>
        <w:jc w:val="both"/>
        <w:rPr>
          <w:rFonts w:ascii="Garamond-Antiqua" w:eastAsia="Calibri" w:hAnsi="Garamond-Antiqua" w:cs="Garamond-Antiqua"/>
          <w:color w:val="000000"/>
          <w:sz w:val="24"/>
          <w:szCs w:val="24"/>
        </w:rPr>
      </w:pPr>
    </w:p>
    <w:sectPr w:rsidR="002274F4" w:rsidRPr="00227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-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Halb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aramond-Kursiv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F4"/>
    <w:rsid w:val="000C61DC"/>
    <w:rsid w:val="002274F4"/>
    <w:rsid w:val="002D4991"/>
    <w:rsid w:val="004175A4"/>
    <w:rsid w:val="004A19B4"/>
    <w:rsid w:val="006F66BE"/>
    <w:rsid w:val="0086328E"/>
    <w:rsid w:val="0087402F"/>
    <w:rsid w:val="00946D1F"/>
    <w:rsid w:val="00AF42B2"/>
    <w:rsid w:val="00C53740"/>
    <w:rsid w:val="00E46532"/>
    <w:rsid w:val="00E84A0D"/>
    <w:rsid w:val="00EF0286"/>
    <w:rsid w:val="00F531A3"/>
    <w:rsid w:val="00F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4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F6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4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F6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vvis007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vvis00700g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ismorellicolao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Alberto</dc:creator>
  <cp:lastModifiedBy>Administrator</cp:lastModifiedBy>
  <cp:revision>2</cp:revision>
  <dcterms:created xsi:type="dcterms:W3CDTF">2015-11-25T11:33:00Z</dcterms:created>
  <dcterms:modified xsi:type="dcterms:W3CDTF">2015-11-25T11:33:00Z</dcterms:modified>
</cp:coreProperties>
</file>