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7E" w:rsidRDefault="00626F7E" w:rsidP="00026E0A">
      <w:pPr>
        <w:rPr>
          <w:rFonts w:ascii="Times New Roman" w:hAnsi="Times New Roman" w:cs="Times New Roman"/>
        </w:rPr>
      </w:pPr>
    </w:p>
    <w:p w:rsidR="00092954" w:rsidRDefault="00092954" w:rsidP="00026E0A">
      <w:pPr>
        <w:rPr>
          <w:rFonts w:ascii="Times New Roman" w:hAnsi="Times New Roman" w:cs="Times New Roman"/>
        </w:rPr>
      </w:pPr>
    </w:p>
    <w:p w:rsidR="00092954" w:rsidRPr="00092954" w:rsidRDefault="00092954" w:rsidP="00092954">
      <w:pPr>
        <w:jc w:val="center"/>
        <w:rPr>
          <w:rFonts w:ascii="Times New Roman" w:hAnsi="Times New Roman" w:cs="Times New Roman"/>
          <w:sz w:val="32"/>
          <w:szCs w:val="32"/>
        </w:rPr>
      </w:pPr>
      <w:r w:rsidRPr="00092954">
        <w:rPr>
          <w:rFonts w:ascii="Times New Roman" w:hAnsi="Times New Roman" w:cs="Times New Roman"/>
          <w:sz w:val="32"/>
          <w:szCs w:val="32"/>
        </w:rPr>
        <w:t>4 – Scheda ANSPC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5C0E5C" w:rsidTr="001265DB">
        <w:tc>
          <w:tcPr>
            <w:tcW w:w="2097" w:type="dxa"/>
          </w:tcPr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7934" w:type="dxa"/>
          </w:tcPr>
          <w:p w:rsidR="00026E0A" w:rsidRPr="005C0E5C" w:rsidRDefault="00026E0A" w:rsidP="000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Associazione Nazionale per lo Studio dei Problemi del Credito </w:t>
            </w:r>
          </w:p>
        </w:tc>
      </w:tr>
      <w:tr w:rsidR="005C0E5C" w:rsidRPr="005C0E5C" w:rsidTr="001265DB">
        <w:trPr>
          <w:trHeight w:val="1085"/>
        </w:trPr>
        <w:tc>
          <w:tcPr>
            <w:tcW w:w="2097" w:type="dxa"/>
            <w:vMerge w:val="restart"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5C0E5C" w:rsidRPr="00AF3E4F" w:rsidRDefault="001265DB" w:rsidP="00092954">
            <w:pPr>
              <w:pStyle w:val="Paragrafoelenco"/>
              <w:ind w:left="0" w:hanging="11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="00AF3E4F" w:rsidRPr="00AF3E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Educazione Finanziaria nella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cultura economica e sociale del</w:t>
            </w:r>
            <w:r w:rsidR="000929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F3E4F" w:rsidRPr="00AF3E4F">
              <w:rPr>
                <w:rFonts w:ascii="Times New Roman" w:hAnsi="Times New Roman" w:cs="Times New Roman"/>
                <w:i/>
                <w:sz w:val="24"/>
                <w:szCs w:val="24"/>
              </w:rPr>
              <w:t>Mediterraneo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  <w:p w:rsidR="005C0E5C" w:rsidRPr="005C0E5C" w:rsidRDefault="005C0E5C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DB" w:rsidRPr="001265DB" w:rsidRDefault="005C0E5C" w:rsidP="00092954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1265DB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="001265DB" w:rsidRPr="001265D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26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949">
              <w:rPr>
                <w:rFonts w:ascii="Times New Roman" w:hAnsi="Times New Roman" w:cs="Times New Roman"/>
                <w:sz w:val="24"/>
                <w:szCs w:val="24"/>
              </w:rPr>
              <w:t>Il progetto di Educazione Finanziaria</w:t>
            </w:r>
            <w:r w:rsidR="00BA48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4949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="006C4949">
              <w:rPr>
                <w:rFonts w:ascii="Times New Roman" w:hAnsi="Times New Roman" w:cs="Times New Roman"/>
                <w:sz w:val="24"/>
                <w:szCs w:val="24"/>
              </w:rPr>
              <w:t>l’a.s.</w:t>
            </w:r>
            <w:proofErr w:type="spellEnd"/>
            <w:r w:rsidR="006C4949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BA48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4949">
              <w:rPr>
                <w:rFonts w:ascii="Times New Roman" w:hAnsi="Times New Roman" w:cs="Times New Roman"/>
                <w:sz w:val="24"/>
                <w:szCs w:val="24"/>
              </w:rPr>
              <w:t xml:space="preserve"> intende favorire lo sviluppo culturale del Sud</w:t>
            </w:r>
            <w:r w:rsidR="001265DB" w:rsidRPr="001265DB">
              <w:rPr>
                <w:rFonts w:ascii="Times New Roman" w:hAnsi="Times New Roman" w:cs="Times New Roman"/>
                <w:sz w:val="24"/>
                <w:szCs w:val="24"/>
              </w:rPr>
              <w:t>, incoraggiando l’affermazione di una comunità consapevole e attiva, con un livello di istruzione economica più elevato.</w:t>
            </w:r>
          </w:p>
          <w:p w:rsidR="001265DB" w:rsidRPr="001265DB" w:rsidRDefault="001265DB" w:rsidP="00092954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5DB">
              <w:rPr>
                <w:rFonts w:ascii="Times New Roman" w:hAnsi="Times New Roman" w:cs="Times New Roman"/>
                <w:sz w:val="24"/>
                <w:szCs w:val="24"/>
              </w:rPr>
              <w:t xml:space="preserve">La didattica avrà la finalità di </w:t>
            </w:r>
            <w:r w:rsidR="00F1270D">
              <w:rPr>
                <w:rFonts w:ascii="Times New Roman" w:hAnsi="Times New Roman" w:cs="Times New Roman"/>
                <w:sz w:val="24"/>
                <w:szCs w:val="24"/>
              </w:rPr>
              <w:t xml:space="preserve">contribuire a </w:t>
            </w:r>
            <w:r w:rsidRPr="001265DB">
              <w:rPr>
                <w:rFonts w:ascii="Times New Roman" w:hAnsi="Times New Roman" w:cs="Times New Roman"/>
                <w:sz w:val="24"/>
                <w:szCs w:val="24"/>
              </w:rPr>
              <w:t xml:space="preserve">promuovere, attraverso i giovani e le loro </w:t>
            </w:r>
            <w:r w:rsidR="00F1270D">
              <w:rPr>
                <w:rFonts w:ascii="Times New Roman" w:hAnsi="Times New Roman" w:cs="Times New Roman"/>
                <w:sz w:val="24"/>
                <w:szCs w:val="24"/>
              </w:rPr>
              <w:t>attese</w:t>
            </w:r>
            <w:r w:rsidRPr="001265DB">
              <w:rPr>
                <w:rFonts w:ascii="Times New Roman" w:hAnsi="Times New Roman" w:cs="Times New Roman"/>
                <w:sz w:val="24"/>
                <w:szCs w:val="24"/>
              </w:rPr>
              <w:t xml:space="preserve">, la crescita sociale ed economica del territorio in cui si opera. Al riguardo, particolare attenzione </w:t>
            </w:r>
            <w:r w:rsidR="006C4949">
              <w:rPr>
                <w:rFonts w:ascii="Times New Roman" w:hAnsi="Times New Roman" w:cs="Times New Roman"/>
                <w:sz w:val="24"/>
                <w:szCs w:val="24"/>
              </w:rPr>
              <w:t xml:space="preserve">verrà posta </w:t>
            </w:r>
            <w:r w:rsidRPr="001265DB">
              <w:rPr>
                <w:rFonts w:ascii="Times New Roman" w:hAnsi="Times New Roman" w:cs="Times New Roman"/>
                <w:sz w:val="24"/>
                <w:szCs w:val="24"/>
              </w:rPr>
              <w:t>all’area del Mediterraneo</w:t>
            </w:r>
            <w:r w:rsidR="00BA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DB">
              <w:rPr>
                <w:rFonts w:ascii="Times New Roman" w:hAnsi="Times New Roman" w:cs="Times New Roman"/>
                <w:sz w:val="24"/>
                <w:szCs w:val="24"/>
              </w:rPr>
              <w:t>per sostenere, in maniera</w:t>
            </w:r>
            <w:r w:rsidR="00F1270D">
              <w:rPr>
                <w:rFonts w:ascii="Times New Roman" w:hAnsi="Times New Roman" w:cs="Times New Roman"/>
                <w:sz w:val="24"/>
                <w:szCs w:val="24"/>
              </w:rPr>
              <w:t xml:space="preserve"> concreta, l’affermazione di una comune </w:t>
            </w:r>
            <w:r w:rsidRPr="001265DB">
              <w:rPr>
                <w:rFonts w:ascii="Times New Roman" w:hAnsi="Times New Roman" w:cs="Times New Roman"/>
                <w:sz w:val="24"/>
                <w:szCs w:val="24"/>
              </w:rPr>
              <w:t>identità.</w:t>
            </w:r>
          </w:p>
          <w:p w:rsidR="001265DB" w:rsidRPr="00F1270D" w:rsidRDefault="00F1270D" w:rsidP="00092954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Altresì, la nostra offerta formativa vuole allontanare l’idea che l’</w:t>
            </w:r>
            <w:r w:rsidR="001265DB" w:rsidRPr="001265DB">
              <w:rPr>
                <w:rFonts w:ascii="Times New Roman" w:hAnsi="Times New Roman" w:cs="Times New Roman"/>
                <w:sz w:val="24"/>
                <w:szCs w:val="24"/>
              </w:rPr>
              <w:t xml:space="preserve">Educazione Finanziaria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sia</w:t>
            </w:r>
            <w:r w:rsidR="001265DB" w:rsidRPr="001265DB">
              <w:rPr>
                <w:rFonts w:ascii="Times New Roman" w:hAnsi="Times New Roman" w:cs="Times New Roman"/>
                <w:sz w:val="24"/>
                <w:szCs w:val="24"/>
              </w:rPr>
              <w:t xml:space="preserve"> una materia difficile.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Essa deve essere </w:t>
            </w:r>
            <w:r w:rsidR="001265DB" w:rsidRPr="001265DB">
              <w:rPr>
                <w:rFonts w:ascii="Times New Roman" w:hAnsi="Times New Roman" w:cs="Times New Roman"/>
                <w:sz w:val="24"/>
                <w:szCs w:val="24"/>
              </w:rPr>
              <w:t xml:space="preserve">una valida guida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nelle scelte di vita quotidiana ed uno</w:t>
            </w:r>
            <w:r w:rsidR="001265DB" w:rsidRPr="001265DB">
              <w:rPr>
                <w:rFonts w:ascii="Times New Roman" w:hAnsi="Times New Roman" w:cs="Times New Roman"/>
                <w:sz w:val="24"/>
                <w:szCs w:val="24"/>
              </w:rPr>
              <w:t xml:space="preserve"> strumento utile a migliorare la capacità di decisione dei cittadini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</w:t>
            </w:r>
            <w:r w:rsidR="001265DB" w:rsidRPr="00126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5DB" w:rsidRPr="00F1270D">
              <w:rPr>
                <w:rFonts w:ascii="Times New Roman" w:hAnsi="Times New Roman" w:cs="Times New Roman"/>
                <w:sz w:val="24"/>
                <w:szCs w:val="24"/>
              </w:rPr>
              <w:t>risposta alla crisi dei tempi odierni</w:t>
            </w:r>
            <w:r w:rsidR="006C4949" w:rsidRPr="00F12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E5C" w:rsidRPr="005C0E5C" w:rsidRDefault="005C0E5C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Default="005C0E5C" w:rsidP="00092954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1265DB">
              <w:rPr>
                <w:rFonts w:ascii="Times New Roman" w:hAnsi="Times New Roman" w:cs="Times New Roman"/>
                <w:b/>
                <w:sz w:val="24"/>
                <w:szCs w:val="24"/>
              </w:rPr>
              <w:t>destinatari (</w:t>
            </w:r>
            <w:r w:rsidRPr="001265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ordine di scuola coinvolta</w:t>
            </w:r>
            <w:r w:rsidR="00AF3E4F" w:rsidRPr="001265DB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r w:rsidR="00AF3E4F">
              <w:rPr>
                <w:rFonts w:ascii="Times New Roman" w:hAnsi="Times New Roman" w:cs="Times New Roman"/>
                <w:sz w:val="24"/>
                <w:szCs w:val="24"/>
              </w:rPr>
              <w:t xml:space="preserve"> scuole secondarie di II grado</w:t>
            </w:r>
            <w:r w:rsidR="00126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5DB" w:rsidRPr="005C0E5C" w:rsidRDefault="001265DB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Pr="005C0E5C" w:rsidRDefault="005C0E5C" w:rsidP="00092954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1265DB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 (</w:t>
            </w:r>
            <w:r w:rsidRPr="001265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progetto nazionale o locale</w:t>
            </w:r>
            <w:r w:rsidRPr="001265D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F3E4F" w:rsidRPr="001265D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F3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5D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1270D">
              <w:rPr>
                <w:rFonts w:ascii="Times New Roman" w:hAnsi="Times New Roman" w:cs="Times New Roman"/>
                <w:sz w:val="24"/>
                <w:szCs w:val="24"/>
              </w:rPr>
              <w:t xml:space="preserve">egione </w:t>
            </w:r>
            <w:r w:rsidR="00026E0A">
              <w:rPr>
                <w:rFonts w:ascii="Times New Roman" w:hAnsi="Times New Roman" w:cs="Times New Roman"/>
                <w:sz w:val="24"/>
                <w:szCs w:val="24"/>
              </w:rPr>
              <w:t>Puglia</w:t>
            </w:r>
            <w:r w:rsidR="00126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E5C" w:rsidRPr="005C0E5C" w:rsidRDefault="005C0E5C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5C0E5C" w:rsidTr="001265DB">
        <w:trPr>
          <w:trHeight w:val="1528"/>
        </w:trPr>
        <w:tc>
          <w:tcPr>
            <w:tcW w:w="2097" w:type="dxa"/>
            <w:vMerge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5C0E5C" w:rsidRPr="005C0E5C" w:rsidRDefault="005C0E5C" w:rsidP="0012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6F7E" w:rsidRPr="005C0E5C" w:rsidTr="001265DB">
        <w:tc>
          <w:tcPr>
            <w:tcW w:w="2097" w:type="dxa"/>
          </w:tcPr>
          <w:p w:rsidR="00626F7E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5C0E5C" w:rsidRDefault="005C0E5C" w:rsidP="005C0E5C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1270D">
              <w:rPr>
                <w:rFonts w:ascii="Times New Roman" w:hAnsi="Times New Roman" w:cs="Times New Roman"/>
                <w:b/>
                <w:sz w:val="24"/>
                <w:szCs w:val="24"/>
              </w:rPr>
              <w:t>Sito web</w:t>
            </w:r>
            <w:r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5586">
              <w:rPr>
                <w:rFonts w:ascii="Times New Roman" w:hAnsi="Times New Roman" w:cs="Times New Roman"/>
                <w:i/>
                <w:sz w:val="24"/>
                <w:szCs w:val="24"/>
              </w:rPr>
              <w:t>indicazione del sito web dell’Ente e del percorso per visualizzare l’offerta formativa</w:t>
            </w:r>
            <w:r w:rsidR="001265DB">
              <w:rPr>
                <w:rFonts w:ascii="Times New Roman" w:hAnsi="Times New Roman" w:cs="Times New Roman"/>
                <w:sz w:val="24"/>
                <w:szCs w:val="24"/>
              </w:rPr>
              <w:t xml:space="preserve">): www.anspc.it </w:t>
            </w:r>
          </w:p>
          <w:p w:rsidR="005C0E5C" w:rsidRPr="005C0E5C" w:rsidRDefault="005C0E5C" w:rsidP="005C0E5C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0D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5586">
              <w:rPr>
                <w:rFonts w:ascii="Times New Roman" w:hAnsi="Times New Roman" w:cs="Times New Roman"/>
                <w:i/>
                <w:sz w:val="24"/>
                <w:szCs w:val="24"/>
              </w:rPr>
              <w:t>persona fisica o ufficio</w:t>
            </w:r>
            <w:r w:rsidRPr="005C0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270D">
              <w:rPr>
                <w:rFonts w:ascii="Times New Roman" w:hAnsi="Times New Roman" w:cs="Times New Roman"/>
                <w:sz w:val="24"/>
                <w:szCs w:val="24"/>
              </w:rPr>
              <w:t>: Dott.ssa Diandra Della Corte</w:t>
            </w:r>
          </w:p>
          <w:p w:rsidR="005C0E5C" w:rsidRPr="00026E0A" w:rsidRDefault="005C0E5C" w:rsidP="005C0E5C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email:</w:t>
            </w:r>
            <w:r w:rsidR="00F1270D" w:rsidRPr="00026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026E0A" w:rsidRPr="00026E0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info@anspc.it</w:t>
              </w:r>
            </w:hyperlink>
            <w:r w:rsidR="00026E0A" w:rsidRPr="00026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segreteriadipresidenza@anspc.it</w:t>
            </w:r>
          </w:p>
          <w:p w:rsidR="00626F7E" w:rsidRPr="005C0E5C" w:rsidRDefault="005C0E5C" w:rsidP="005C0E5C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0D">
              <w:rPr>
                <w:rFonts w:ascii="Times New Roman" w:hAnsi="Times New Roman" w:cs="Times New Roman"/>
                <w:b/>
                <w:sz w:val="24"/>
                <w:szCs w:val="24"/>
              </w:rPr>
              <w:t>tel.:</w:t>
            </w:r>
            <w:r w:rsidR="00F1270D">
              <w:rPr>
                <w:rFonts w:ascii="Times New Roman" w:hAnsi="Times New Roman" w:cs="Times New Roman"/>
                <w:sz w:val="24"/>
                <w:szCs w:val="24"/>
              </w:rPr>
              <w:t xml:space="preserve"> 06 85351354 </w:t>
            </w:r>
          </w:p>
        </w:tc>
      </w:tr>
    </w:tbl>
    <w:p w:rsidR="000E1816" w:rsidRPr="005C0E5C" w:rsidRDefault="000E1816" w:rsidP="000E1816">
      <w:pPr>
        <w:jc w:val="both"/>
        <w:rPr>
          <w:sz w:val="24"/>
          <w:szCs w:val="24"/>
        </w:rPr>
      </w:pPr>
    </w:p>
    <w:sectPr w:rsidR="000E1816" w:rsidRPr="005C0E5C" w:rsidSect="001059A9">
      <w:pgSz w:w="11906" w:h="16838"/>
      <w:pgMar w:top="142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28C9"/>
    <w:multiLevelType w:val="hybridMultilevel"/>
    <w:tmpl w:val="0F0C7A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26E0A"/>
    <w:rsid w:val="00092954"/>
    <w:rsid w:val="000A0422"/>
    <w:rsid w:val="000B012E"/>
    <w:rsid w:val="000B499E"/>
    <w:rsid w:val="000E1816"/>
    <w:rsid w:val="000E5B04"/>
    <w:rsid w:val="001059A9"/>
    <w:rsid w:val="001265DB"/>
    <w:rsid w:val="00130300"/>
    <w:rsid w:val="001350C9"/>
    <w:rsid w:val="001B4E04"/>
    <w:rsid w:val="00290768"/>
    <w:rsid w:val="002A54C4"/>
    <w:rsid w:val="003131B6"/>
    <w:rsid w:val="0035451C"/>
    <w:rsid w:val="003573B9"/>
    <w:rsid w:val="00373A39"/>
    <w:rsid w:val="003A0ACF"/>
    <w:rsid w:val="003C01D5"/>
    <w:rsid w:val="004939D9"/>
    <w:rsid w:val="004A2021"/>
    <w:rsid w:val="004B7070"/>
    <w:rsid w:val="004F44A5"/>
    <w:rsid w:val="00505A8F"/>
    <w:rsid w:val="00512D3A"/>
    <w:rsid w:val="0058480A"/>
    <w:rsid w:val="005C0E5C"/>
    <w:rsid w:val="0061496A"/>
    <w:rsid w:val="0062352A"/>
    <w:rsid w:val="00626F7E"/>
    <w:rsid w:val="00652A48"/>
    <w:rsid w:val="006C4949"/>
    <w:rsid w:val="00704C49"/>
    <w:rsid w:val="00714BF1"/>
    <w:rsid w:val="00741B34"/>
    <w:rsid w:val="00756FB4"/>
    <w:rsid w:val="00795E81"/>
    <w:rsid w:val="007974DB"/>
    <w:rsid w:val="007A5A7E"/>
    <w:rsid w:val="007E5BCD"/>
    <w:rsid w:val="00872E6D"/>
    <w:rsid w:val="008739A8"/>
    <w:rsid w:val="008B5586"/>
    <w:rsid w:val="008B6213"/>
    <w:rsid w:val="008F1A55"/>
    <w:rsid w:val="00932909"/>
    <w:rsid w:val="009D4D9C"/>
    <w:rsid w:val="009F5496"/>
    <w:rsid w:val="00A44F08"/>
    <w:rsid w:val="00A44F0D"/>
    <w:rsid w:val="00AB32A2"/>
    <w:rsid w:val="00AF3E4F"/>
    <w:rsid w:val="00B14E83"/>
    <w:rsid w:val="00B2118E"/>
    <w:rsid w:val="00B77AA5"/>
    <w:rsid w:val="00B9410A"/>
    <w:rsid w:val="00B94757"/>
    <w:rsid w:val="00BA486F"/>
    <w:rsid w:val="00BC2CDC"/>
    <w:rsid w:val="00C3670E"/>
    <w:rsid w:val="00C43EB8"/>
    <w:rsid w:val="00CB4DE4"/>
    <w:rsid w:val="00CE791C"/>
    <w:rsid w:val="00D50BB2"/>
    <w:rsid w:val="00DB5B1F"/>
    <w:rsid w:val="00E04323"/>
    <w:rsid w:val="00E245B1"/>
    <w:rsid w:val="00E31AAB"/>
    <w:rsid w:val="00E34F78"/>
    <w:rsid w:val="00EA17A2"/>
    <w:rsid w:val="00EC2F86"/>
    <w:rsid w:val="00F015BA"/>
    <w:rsid w:val="00F1270D"/>
    <w:rsid w:val="00F56704"/>
    <w:rsid w:val="00F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nsp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A289-22F6-4D18-92E2-165136B4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Administrator</cp:lastModifiedBy>
  <cp:revision>2</cp:revision>
  <cp:lastPrinted>2016-09-09T08:13:00Z</cp:lastPrinted>
  <dcterms:created xsi:type="dcterms:W3CDTF">2017-10-30T12:51:00Z</dcterms:created>
  <dcterms:modified xsi:type="dcterms:W3CDTF">2017-10-30T12:51:00Z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